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A90" w:rsidRDefault="000B2A90" w:rsidP="000B2A90">
      <w:pPr>
        <w:pStyle w:val="a3"/>
        <w:widowControl/>
        <w:shd w:val="clear" w:color="auto" w:fill="FFFFFF"/>
        <w:spacing w:beforeAutospacing="0" w:afterAutospacing="0" w:line="450" w:lineRule="atLeast"/>
        <w:rPr>
          <w:rFonts w:ascii="仿宋" w:eastAsia="仿宋" w:cs="仿宋"/>
          <w:kern w:val="2"/>
          <w:sz w:val="32"/>
          <w:szCs w:val="32"/>
        </w:rPr>
      </w:pPr>
      <w:bookmarkStart w:id="0" w:name="OLE_LINK44"/>
      <w:bookmarkStart w:id="1" w:name="OLE_LINK45"/>
      <w:bookmarkStart w:id="2" w:name="OLE_LINK47"/>
      <w:bookmarkStart w:id="3" w:name="OLE_LINK48"/>
      <w:r>
        <w:rPr>
          <w:rFonts w:ascii="仿宋" w:eastAsia="仿宋" w:cs="仿宋" w:hint="eastAsia"/>
          <w:kern w:val="2"/>
          <w:sz w:val="32"/>
          <w:szCs w:val="32"/>
        </w:rPr>
        <w:t>附：参会企业名单</w:t>
      </w:r>
      <w:bookmarkEnd w:id="2"/>
      <w:bookmarkEnd w:id="3"/>
      <w:r>
        <w:rPr>
          <w:rFonts w:ascii="仿宋" w:eastAsia="仿宋" w:cs="仿宋" w:hint="eastAsia"/>
          <w:kern w:val="2"/>
          <w:sz w:val="32"/>
          <w:szCs w:val="32"/>
        </w:rPr>
        <w:t>（排名不分先后顺序）</w:t>
      </w:r>
    </w:p>
    <w:tbl>
      <w:tblPr>
        <w:tblW w:w="8659" w:type="dxa"/>
        <w:tblLook w:val="04A0" w:firstRow="1" w:lastRow="0" w:firstColumn="1" w:lastColumn="0" w:noHBand="0" w:noVBand="1"/>
      </w:tblPr>
      <w:tblGrid>
        <w:gridCol w:w="1043"/>
        <w:gridCol w:w="7616"/>
      </w:tblGrid>
      <w:tr w:rsidR="000B2A90" w:rsidTr="001C1C0F">
        <w:trPr>
          <w:trHeight w:val="80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   位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1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一汽解放汽车有限公司动力总成事业部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2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中国第一汽车股份有限公司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3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安徽全柴动力股份有限公司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4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广西玉柴机器股份有限公司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5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昆明云内动力股份有限公司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6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东风康明斯发动机有限公司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7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山西柴油机工业有限责任公司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8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龙口龙泵柴油喷射高科有限公司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9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无锡威孚力达催化净化器有限公司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10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无锡恒和环保科技有限公司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11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飞龙汽车部件股份有限公司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12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无锡明恒混合动力技术有限公司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13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浙江德宏汽车电子电器股份有限公司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14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安徽艾可蓝环保股份有限公司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15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浙江宇太精工股份有限公司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中自环保科技股份有限公司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17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无锡沃尔福汽车技术有限公司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18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凯晟动力技术（嘉兴）有限公司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19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仪征亚新科双环活塞环有限公司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20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无锡市贝尔机械股份有限公司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21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浙江和夏科技股份有限公司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22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尚泰传感科技（南通）有限公司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23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无锡凯伦纳弹簧有限公司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24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南通科兴化工股份有限公司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25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中机科（北京）车辆检测工程研究院有限公司</w:t>
            </w:r>
          </w:p>
        </w:tc>
      </w:tr>
      <w:tr w:rsidR="000B2A90" w:rsidTr="001C1C0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26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A90" w:rsidRDefault="000B2A90" w:rsidP="001C1C0F">
            <w:pPr>
              <w:widowControl/>
              <w:jc w:val="center"/>
              <w:textAlignment w:val="bottom"/>
              <w:rPr>
                <w:rFonts w:ascii="仿宋" w:eastAsia="仿宋" w:cs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中机寰宇认证检验股份有限公司</w:t>
            </w:r>
          </w:p>
        </w:tc>
      </w:tr>
      <w:bookmarkEnd w:id="0"/>
      <w:bookmarkEnd w:id="1"/>
    </w:tbl>
    <w:p w:rsidR="00964F88" w:rsidRPr="000B2A90" w:rsidRDefault="00964F88"/>
    <w:sectPr w:rsidR="00964F88" w:rsidRPr="000B2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90"/>
    <w:rsid w:val="000B2A90"/>
    <w:rsid w:val="009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10EC3C5-F2FC-144A-A73B-71A1CE12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B2A90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2023-05-29T09:41:00Z</dcterms:created>
  <dcterms:modified xsi:type="dcterms:W3CDTF">2023-05-29T09:42:00Z</dcterms:modified>
</cp:coreProperties>
</file>