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附件：</w:t>
      </w:r>
    </w:p>
    <w:p>
      <w:pPr>
        <w:ind w:firstLine="880" w:firstLineChars="40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参与产品质量和服务质量自我声明活动企业名单</w:t>
      </w:r>
    </w:p>
    <w:p>
      <w:pPr>
        <w:ind w:firstLine="880" w:firstLineChars="400"/>
        <w:jc w:val="center"/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石家庄辰泰滤纸有限公司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instrText xml:space="preserve"> HYPERLINK "https://mp.weixin.qq.com/s/javascript:void(0);" </w:instrText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浙江环球滤清器有限公司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山东龙德复合材料科技股份有限公司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山东仁丰特种材料股份有限公司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苏州达菲特过滤技术股份有限公司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浙江永钰过滤系统有限公司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安徽凤凰滤清器股份有限公司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康跃科技股份有限公司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芜湖永裕汽车工业股份有限公司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上海巨力金刚石工具有限公司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安徽金光机械集团股份有限公司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临海市江南滤清器有限公司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怀集登月气门有限公司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绵阳富临精工机械股份有限公司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C155F"/>
    <w:multiLevelType w:val="singleLevel"/>
    <w:tmpl w:val="AAEC15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36CD"/>
    <w:rsid w:val="236B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2020-09-01T08:37:00Z</dcterms:created>
  <dc:creator>车视界</dc:creator>
  <cp:lastModifiedBy>车视界</cp:lastModifiedBy>
  <dcterms:modified xsi:type="dcterms:W3CDTF">2020-09-01T08:38:28Z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