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-340" w:rightChars="-162" w:firstLine="480" w:firstLineChars="200"/>
        <w:rPr>
          <w:b/>
          <w:color w:val="FF0000"/>
          <w:sz w:val="32"/>
          <w:szCs w:val="32"/>
        </w:rPr>
      </w:pPr>
      <w:r>
        <w:rPr>
          <w:rFonts w:hint="eastAsia"/>
          <w:sz w:val="24"/>
          <w:szCs w:val="24"/>
        </w:rPr>
        <w:t>附件二、</w:t>
      </w:r>
    </w:p>
    <w:p>
      <w:pPr>
        <w:spacing w:line="360" w:lineRule="auto"/>
        <w:ind w:right="-340" w:rightChars="-162" w:firstLine="643" w:firstLineChars="200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>《2017年中国内燃机工业**分行业发展报告》编纂工作要求</w:t>
      </w:r>
    </w:p>
    <w:p>
      <w:pPr>
        <w:numPr>
          <w:ilvl w:val="0"/>
          <w:numId w:val="1"/>
        </w:numPr>
        <w:spacing w:line="400" w:lineRule="exact"/>
        <w:ind w:left="285" w:leftChars="7" w:right="-340" w:rightChars="-162" w:hanging="270" w:hangingChars="12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《发展报告》提交要求</w:t>
      </w:r>
    </w:p>
    <w:p>
      <w:pPr>
        <w:numPr>
          <w:ilvl w:val="1"/>
          <w:numId w:val="1"/>
        </w:numPr>
        <w:spacing w:line="400" w:lineRule="exact"/>
        <w:ind w:left="285" w:leftChars="7" w:right="-340" w:rightChars="-162" w:hanging="270" w:hangingChars="128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文档格式</w:t>
      </w:r>
      <w:r>
        <w:rPr>
          <w:rFonts w:hint="eastAsia" w:ascii="宋体" w:hAnsi="宋体"/>
          <w:szCs w:val="21"/>
        </w:rPr>
        <w:t>：WORD电子版</w:t>
      </w:r>
    </w:p>
    <w:p>
      <w:pPr>
        <w:numPr>
          <w:ilvl w:val="1"/>
          <w:numId w:val="1"/>
        </w:numPr>
        <w:spacing w:line="400" w:lineRule="exact"/>
        <w:ind w:left="285" w:leftChars="7" w:right="-340" w:rightChars="-162" w:hanging="270" w:hangingChars="128"/>
        <w:rPr>
          <w:rFonts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编纂人员：</w:t>
      </w:r>
      <w:r>
        <w:rPr>
          <w:rFonts w:hint="eastAsia" w:ascii="宋体" w:hAnsi="宋体"/>
          <w:szCs w:val="21"/>
        </w:rPr>
        <w:t>分会理事长负责审稿，秘书长负责执笔</w:t>
      </w:r>
    </w:p>
    <w:p>
      <w:pPr>
        <w:numPr>
          <w:ilvl w:val="1"/>
          <w:numId w:val="1"/>
        </w:numPr>
        <w:spacing w:line="400" w:lineRule="exact"/>
        <w:ind w:left="285" w:leftChars="7" w:right="-340" w:rightChars="-162" w:hanging="270" w:hangingChars="128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提交时间：</w:t>
      </w:r>
      <w:r>
        <w:rPr>
          <w:rFonts w:hint="eastAsia" w:ascii="宋体" w:hAnsi="宋体"/>
          <w:szCs w:val="21"/>
        </w:rPr>
        <w:t>按照协会相关通知要求时间提交并保证《发展报告》质量。</w:t>
      </w:r>
    </w:p>
    <w:p>
      <w:pPr>
        <w:numPr>
          <w:ilvl w:val="3"/>
          <w:numId w:val="1"/>
        </w:numPr>
        <w:spacing w:line="400" w:lineRule="exact"/>
        <w:ind w:left="851" w:right="-340" w:rightChars="-162" w:hanging="28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</w:rPr>
        <w:t>8年3月13日前，完成报告初稿并报中内协办公室。</w:t>
      </w:r>
    </w:p>
    <w:p>
      <w:pPr>
        <w:numPr>
          <w:ilvl w:val="3"/>
          <w:numId w:val="1"/>
        </w:numPr>
        <w:spacing w:line="400" w:lineRule="exact"/>
        <w:ind w:left="851" w:right="-340" w:rightChars="-162" w:hanging="283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</w:rPr>
        <w:t>8年3月31日前，完成报告终稿并报中内协办公室。</w:t>
      </w:r>
    </w:p>
    <w:p>
      <w:pPr>
        <w:numPr>
          <w:ilvl w:val="3"/>
          <w:numId w:val="1"/>
        </w:numPr>
        <w:spacing w:line="400" w:lineRule="exact"/>
        <w:ind w:left="851" w:right="-340" w:rightChars="-162" w:hanging="283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鼓励各分会在3月13日一次性提交《发展报告》终稿。但也理解此工作难度很大，可以分两次完成。</w:t>
      </w:r>
    </w:p>
    <w:p>
      <w:pPr>
        <w:pStyle w:val="4"/>
        <w:numPr>
          <w:ilvl w:val="1"/>
          <w:numId w:val="1"/>
        </w:numPr>
        <w:spacing w:line="400" w:lineRule="exact"/>
        <w:ind w:left="426" w:right="-340" w:rightChars="-162" w:hanging="426" w:firstLineChars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今年主要审查灰色提示部分内容完整，缺项需要文字说明，理由不够充分的均要补写。</w:t>
      </w:r>
    </w:p>
    <w:p>
      <w:pPr>
        <w:numPr>
          <w:ilvl w:val="0"/>
          <w:numId w:val="1"/>
        </w:numPr>
        <w:spacing w:line="400" w:lineRule="exact"/>
        <w:ind w:left="285" w:leftChars="7" w:right="-340" w:rightChars="-162" w:hanging="270" w:hangingChars="12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《发展报告》内容及格式要求（此格式要求供参考，不做硬性要求）</w:t>
      </w:r>
    </w:p>
    <w:p>
      <w:pPr>
        <w:numPr>
          <w:ilvl w:val="0"/>
          <w:numId w:val="2"/>
        </w:numPr>
        <w:spacing w:line="400" w:lineRule="exact"/>
        <w:ind w:left="285" w:leftChars="7" w:right="-340" w:rightChars="-162" w:hanging="270" w:hangingChars="128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题目</w:t>
      </w:r>
      <w:r>
        <w:rPr>
          <w:rFonts w:hint="eastAsia" w:ascii="宋体" w:hAnsi="宋体"/>
          <w:szCs w:val="21"/>
        </w:rPr>
        <w:t xml:space="preserve">    《2018年**行业发展报告》  </w:t>
      </w:r>
      <w:r>
        <w:rPr>
          <w:rFonts w:hint="eastAsia" w:ascii="宋体" w:hAnsi="宋体"/>
          <w:color w:val="FF0000"/>
          <w:szCs w:val="21"/>
        </w:rPr>
        <w:t xml:space="preserve"> </w:t>
      </w:r>
      <w:r>
        <w:rPr>
          <w:rFonts w:hint="eastAsia" w:ascii="宋体" w:hAnsi="宋体"/>
          <w:szCs w:val="21"/>
        </w:rPr>
        <w:t>二号黑体</w:t>
      </w:r>
    </w:p>
    <w:p>
      <w:pPr>
        <w:spacing w:line="400" w:lineRule="exact"/>
        <w:ind w:right="-340" w:rightChars="-162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2、正文   </w:t>
      </w:r>
      <w:r>
        <w:rPr>
          <w:rFonts w:hint="eastAsia" w:ascii="宋体" w:hAnsi="宋体"/>
          <w:szCs w:val="21"/>
        </w:rPr>
        <w:t>正文是《发展报告》的主体、核心部分，结构需按照《发展报告》大纲要求项目组成及顺序。要求描述及评价客观、公正，论据充实可靠，结构严谨，条理分明，数据可靠，文字精炼，图表清晰整齐。注意事项：文中不是换行或换段处，不要回车。</w:t>
      </w:r>
    </w:p>
    <w:p>
      <w:pPr>
        <w:spacing w:line="400" w:lineRule="exact"/>
        <w:ind w:right="-340" w:rightChars="-162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一级标题-----------四号黑体        二级标题-----------五号黑体</w:t>
      </w:r>
    </w:p>
    <w:p>
      <w:pPr>
        <w:spacing w:line="400" w:lineRule="exact"/>
        <w:ind w:right="-340" w:rightChars="-162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正文-----------五号宋体            附录-----------五号楷体</w:t>
      </w:r>
    </w:p>
    <w:p>
      <w:pPr>
        <w:spacing w:line="400" w:lineRule="exact"/>
        <w:ind w:right="-340" w:rightChars="-162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3、</w:t>
      </w:r>
      <w:r>
        <w:rPr>
          <w:rFonts w:hint="eastAsia" w:ascii="宋体" w:hAnsi="宋体"/>
          <w:szCs w:val="21"/>
        </w:rPr>
        <w:t>为提高报告中所涉及数据的准确性，请在分行业报告的写作中明确数据的口径及数据来源。（如果存在统计口径调整的问题，请在文中进行说明。）</w:t>
      </w:r>
    </w:p>
    <w:p>
      <w:pPr>
        <w:spacing w:line="400" w:lineRule="exact"/>
        <w:ind w:right="-340" w:rightChars="-16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编排样稿如下：</w:t>
      </w:r>
    </w:p>
    <w:p>
      <w:pPr>
        <w:keepNext/>
        <w:keepLines/>
        <w:spacing w:before="240" w:after="240" w:line="540" w:lineRule="auto"/>
        <w:ind w:firstLine="1100" w:firstLineChars="249"/>
        <w:jc w:val="center"/>
        <w:outlineLvl w:val="0"/>
        <w:rPr>
          <w:rFonts w:ascii="黑体" w:hAnsi="黑体" w:eastAsia="黑体"/>
          <w:b/>
          <w:bCs/>
          <w:kern w:val="44"/>
          <w:sz w:val="44"/>
          <w:szCs w:val="44"/>
        </w:rPr>
      </w:pPr>
      <w:r>
        <w:rPr>
          <w:rFonts w:hint="eastAsia" w:ascii="黑体" w:hAnsi="黑体" w:eastAsia="黑体"/>
          <w:b/>
          <w:bCs/>
          <w:kern w:val="44"/>
          <w:sz w:val="44"/>
          <w:szCs w:val="44"/>
        </w:rPr>
        <w:t>中缸径多缸柴油机 ---二号黑体</w:t>
      </w:r>
    </w:p>
    <w:p>
      <w:pPr>
        <w:autoSpaceDE w:val="0"/>
        <w:autoSpaceDN w:val="0"/>
        <w:adjustRightInd w:val="0"/>
        <w:ind w:firstLine="551" w:firstLineChars="196"/>
        <w:jc w:val="left"/>
        <w:rPr>
          <w:rFonts w:ascii="黑体" w:hAnsi="黑体" w:eastAsia="黑体" w:cs="仿宋"/>
          <w:b/>
          <w:kern w:val="0"/>
          <w:sz w:val="28"/>
          <w:szCs w:val="28"/>
        </w:rPr>
      </w:pPr>
      <w:r>
        <w:rPr>
          <w:rFonts w:hint="eastAsia" w:ascii="黑体" w:hAnsi="黑体" w:eastAsia="黑体" w:cs="仿宋"/>
          <w:b/>
          <w:kern w:val="0"/>
          <w:sz w:val="28"/>
          <w:szCs w:val="28"/>
        </w:rPr>
        <w:t>一．行业概况---------四号黑体</w:t>
      </w:r>
    </w:p>
    <w:p>
      <w:pPr>
        <w:autoSpaceDE w:val="0"/>
        <w:autoSpaceDN w:val="0"/>
        <w:adjustRightInd w:val="0"/>
        <w:ind w:firstLine="517" w:firstLineChars="245"/>
        <w:jc w:val="left"/>
        <w:rPr>
          <w:rFonts w:ascii="黑体" w:hAnsi="黑体" w:eastAsia="黑体" w:cs="仿宋"/>
          <w:b/>
          <w:kern w:val="0"/>
          <w:szCs w:val="21"/>
        </w:rPr>
      </w:pPr>
      <w:r>
        <w:rPr>
          <w:rFonts w:hint="eastAsia" w:ascii="黑体" w:hAnsi="黑体" w:eastAsia="黑体" w:cs="仿宋"/>
          <w:b/>
          <w:kern w:val="0"/>
          <w:szCs w:val="21"/>
        </w:rPr>
        <w:t>1.中缸径行业2017年全年主要经济指标完成情况 -----五号黑体</w:t>
      </w:r>
    </w:p>
    <w:p>
      <w:pPr>
        <w:widowControl/>
        <w:spacing w:line="400" w:lineRule="exact"/>
        <w:ind w:firstLine="472" w:firstLineChars="225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中缸径多缸柴油机分会2012年吸收了6家新会员，现共有会员单位39家。中缸径行业各企业2012年生产各类柴油2,344,713台（28,348万千瓦）；销售各类柴油机2,392,916台（29551万千瓦）；柴油机产品销售额1,222,047万元，跟2011年相比较，由于受到配套市场下滑等因素的影响，虽然经过艰苦努力但销售台份数仍下17.79%(千瓦数下降25.16%)，销售收入下降19.77%。</w:t>
      </w:r>
    </w:p>
    <w:p>
      <w:pPr>
        <w:widowControl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......</w:t>
      </w:r>
    </w:p>
    <w:p>
      <w:pPr>
        <w:autoSpaceDE w:val="0"/>
        <w:autoSpaceDN w:val="0"/>
        <w:adjustRightInd w:val="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参考资料：-------五号楷体</w:t>
      </w:r>
    </w:p>
    <w:p>
      <w:pPr>
        <w:autoSpaceDE w:val="0"/>
        <w:autoSpaceDN w:val="0"/>
        <w:adjustRightInd w:val="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 xml:space="preserve">1. 会员单位上报的数据     </w:t>
      </w:r>
    </w:p>
    <w:p>
      <w:pPr>
        <w:autoSpaceDE w:val="0"/>
        <w:autoSpaceDN w:val="0"/>
        <w:adjustRightInd w:val="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 xml:space="preserve">2．发动机动态周报      </w:t>
      </w:r>
    </w:p>
    <w:p>
      <w:pPr>
        <w:autoSpaceDE w:val="0"/>
        <w:autoSpaceDN w:val="0"/>
        <w:adjustRightInd w:val="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3. 中国工业报等报刊杂志摘录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82031"/>
    <w:multiLevelType w:val="multilevel"/>
    <w:tmpl w:val="34C82031"/>
    <w:lvl w:ilvl="0" w:tentative="0">
      <w:start w:val="1"/>
      <w:numFmt w:val="decimal"/>
      <w:lvlText w:val="%1、"/>
      <w:lvlJc w:val="left"/>
      <w:pPr>
        <w:ind w:left="1560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)"/>
      <w:lvlJc w:val="left"/>
      <w:pPr>
        <w:ind w:left="2040" w:hanging="420"/>
      </w:pPr>
    </w:lvl>
    <w:lvl w:ilvl="2" w:tentative="0">
      <w:start w:val="1"/>
      <w:numFmt w:val="lowerRoman"/>
      <w:lvlText w:val="%3."/>
      <w:lvlJc w:val="right"/>
      <w:pPr>
        <w:ind w:left="2460" w:hanging="420"/>
      </w:pPr>
    </w:lvl>
    <w:lvl w:ilvl="3" w:tentative="0">
      <w:start w:val="1"/>
      <w:numFmt w:val="decimal"/>
      <w:lvlText w:val="%4."/>
      <w:lvlJc w:val="left"/>
      <w:pPr>
        <w:ind w:left="2880" w:hanging="420"/>
      </w:pPr>
    </w:lvl>
    <w:lvl w:ilvl="4" w:tentative="0">
      <w:start w:val="1"/>
      <w:numFmt w:val="lowerLetter"/>
      <w:lvlText w:val="%5)"/>
      <w:lvlJc w:val="left"/>
      <w:pPr>
        <w:ind w:left="3300" w:hanging="420"/>
      </w:pPr>
    </w:lvl>
    <w:lvl w:ilvl="5" w:tentative="0">
      <w:start w:val="1"/>
      <w:numFmt w:val="lowerRoman"/>
      <w:lvlText w:val="%6."/>
      <w:lvlJc w:val="right"/>
      <w:pPr>
        <w:ind w:left="3720" w:hanging="420"/>
      </w:pPr>
    </w:lvl>
    <w:lvl w:ilvl="6" w:tentative="0">
      <w:start w:val="1"/>
      <w:numFmt w:val="decimal"/>
      <w:lvlText w:val="%7."/>
      <w:lvlJc w:val="left"/>
      <w:pPr>
        <w:ind w:left="4140" w:hanging="420"/>
      </w:pPr>
    </w:lvl>
    <w:lvl w:ilvl="7" w:tentative="0">
      <w:start w:val="1"/>
      <w:numFmt w:val="lowerLetter"/>
      <w:lvlText w:val="%8)"/>
      <w:lvlJc w:val="left"/>
      <w:pPr>
        <w:ind w:left="4560" w:hanging="420"/>
      </w:pPr>
    </w:lvl>
    <w:lvl w:ilvl="8" w:tentative="0">
      <w:start w:val="1"/>
      <w:numFmt w:val="lowerRoman"/>
      <w:lvlText w:val="%9."/>
      <w:lvlJc w:val="right"/>
      <w:pPr>
        <w:ind w:left="4980" w:hanging="420"/>
      </w:pPr>
    </w:lvl>
  </w:abstractNum>
  <w:abstractNum w:abstractNumId="1">
    <w:nsid w:val="4CDB368A"/>
    <w:multiLevelType w:val="multilevel"/>
    <w:tmpl w:val="4CDB368A"/>
    <w:lvl w:ilvl="0" w:tentative="0">
      <w:start w:val="1"/>
      <w:numFmt w:val="chineseCountingThousand"/>
      <w:lvlText w:val="%1、"/>
      <w:lvlJc w:val="left"/>
      <w:pPr>
        <w:ind w:left="1260" w:hanging="420"/>
      </w:pPr>
    </w:lvl>
    <w:lvl w:ilvl="1" w:tentative="0">
      <w:start w:val="1"/>
      <w:numFmt w:val="decimal"/>
      <w:lvlText w:val="%2、"/>
      <w:lvlJc w:val="left"/>
      <w:pPr>
        <w:ind w:left="704" w:hanging="420"/>
      </w:pPr>
      <w:rPr>
        <w:rFonts w:hint="default" w:ascii="Calibri" w:hAnsi="Calibri"/>
        <w:b/>
        <w:color w:val="auto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)"/>
      <w:lvlJc w:val="left"/>
      <w:pPr>
        <w:ind w:left="988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451DC"/>
    <w:rsid w:val="6D54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2018-02-01T06:00:00Z</dcterms:created>
  <dc:creator>qiantai</dc:creator>
  <cp:lastModifiedBy>qiantai</cp:lastModifiedBy>
  <dcterms:modified xsi:type="dcterms:W3CDTF">2018-02-01T06:00:59Z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