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kinsoku w:val="0"/>
        <w:overflowPunct w:val="0"/>
        <w:spacing w:line="480" w:lineRule="exact"/>
        <w:jc w:val="center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中国内燃机工业协会2020年度第四批团体标准计划项目汇总表</w:t>
      </w:r>
    </w:p>
    <w:p>
      <w:pPr>
        <w:pStyle w:val="2"/>
        <w:kinsoku w:val="0"/>
        <w:overflowPunct w:val="0"/>
        <w:spacing w:line="480" w:lineRule="exact"/>
        <w:jc w:val="center"/>
        <w:rPr>
          <w:rFonts w:ascii="黑体" w:hAnsi="黑体" w:eastAsia="黑体" w:cs="黑体"/>
          <w:bCs/>
        </w:rPr>
      </w:pPr>
    </w:p>
    <w:tbl>
      <w:tblPr>
        <w:tblStyle w:val="3"/>
        <w:tblW w:w="145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582"/>
        <w:gridCol w:w="2589"/>
        <w:gridCol w:w="863"/>
        <w:gridCol w:w="1623"/>
        <w:gridCol w:w="2835"/>
        <w:gridCol w:w="1559"/>
        <w:gridCol w:w="945"/>
        <w:gridCol w:w="1328"/>
        <w:gridCol w:w="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CICEIA2020018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绿色设计产品评价技术规范  粉末冶金气门座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安庆帝伯粉末冶金有限公司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CICEIA2020019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柴油机 选择性催化还原（SCR）系统 氨气传感器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凯龙高科技股份有限公司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通用技术规范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中国内燃机工业协会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同济大学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威海鸣川汽车技术有限公司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机动车快速识别测量和评价规范：遥感监测法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浙江多普勒环保科技有限公司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CICEIA2020022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黑烟车电子抓拍超标排放判别和评价规范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南京新远见智能科技有限公司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北京瀚青环保科技有限公司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CICEIA2020023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地面检测及监测系统数据共享和技术规范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智联万维科技有限公司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远程排放管理车载终端技术要求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威海鸣川汽车技术有限公司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移动源排放监控管理平台技术规范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武汉科技大学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移动源污染排放交易系统技术要求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宁波楷世环保科技有限公司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柴油硫含量传感器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威海鸣川汽车技术有限公司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宁波楷世环保科技有限公司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润滑油品况传感器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宁波楷世环保科技有限公司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威海鸣川汽车技术有限公司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CICEIA2020029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天地车人一体化 移动源排放监控系统  燃气硅氧烷和硫含量传感器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12月(2021年11月)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宁波楷世环保科技有限公司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威海鸣川汽车技术有限公司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B1E64"/>
    <w:rsid w:val="4F9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utoSpaceDE w:val="0"/>
      <w:autoSpaceDN w:val="0"/>
      <w:adjustRightInd w:val="0"/>
      <w:ind w:left="113"/>
      <w:jc w:val="left"/>
    </w:pPr>
    <w:rPr>
      <w:rFonts w:ascii="Arial Unicode MS" w:hAnsi="Arial Unicode MS" w:eastAsia="宋体" w:cs="Arial Unicode MS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2020-11-05T03:49:00Z</dcterms:created>
  <dc:creator>车视界</dc:creator>
  <cp:lastModifiedBy>车视界</cp:lastModifiedBy>
  <dcterms:modified xsi:type="dcterms:W3CDTF">2020-11-05T03:49:57Z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