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tabs>
          <w:tab w:val="left" w:pos="1035"/>
        </w:tabs>
        <w:spacing w:line="48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培训日程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756"/>
        <w:gridCol w:w="4186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日期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时  间</w:t>
            </w:r>
          </w:p>
        </w:tc>
        <w:tc>
          <w:tcPr>
            <w:tcW w:w="6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10月11日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9:00-10:00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参观滨州渤海活塞有限公司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10:00-10:15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合影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10:30-10:50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内燃机发展思路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中国内燃机工业协会秘书长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邢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10:50-11:10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企业知识产权现状与需求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滨州渤海活塞有限公司领导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午餐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自助餐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13:30-15:00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专利导航产业发展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国家知识产权局管理司处长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胡军建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15:00-16:30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发动机专利分析与导航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国家知识产权局机械部副处长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裴志红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16:30-17:00</w:t>
            </w:r>
          </w:p>
        </w:tc>
        <w:tc>
          <w:tcPr>
            <w:tcW w:w="6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晚餐（自助餐）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10月12日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8:30-10:00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企业专利挖掘与专利申请策略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国家知识产权局机械部副处长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焦红芳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10:00-11:30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企业知识产权维权与保护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北京知识产权法院法官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11:30-12:00</w:t>
            </w:r>
          </w:p>
        </w:tc>
        <w:tc>
          <w:tcPr>
            <w:tcW w:w="6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午餐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自助餐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13:30-1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重型车国六及非道路国四标准重点内容解读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-US" w:eastAsia="zh-CN"/>
              </w:rPr>
              <w:t>国家济南检测中心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高级项目经理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lang w:val="en-US" w:eastAsia="zh-CN"/>
              </w:rPr>
              <w:t>刘顺利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14:30-16:00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企业知识产权工作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滨州渤海活塞有限公司知识产权办公室主任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姜殿昌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晚餐（自助餐）</w:t>
            </w:r>
          </w:p>
        </w:tc>
      </w:tr>
    </w:tbl>
    <w:p>
      <w:pPr>
        <w:rPr>
          <w:sz w:val="20"/>
          <w:szCs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C2839"/>
    <w:rsid w:val="771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2018-09-20T02:13:00Z</dcterms:created>
  <dc:creator>qiantai</dc:creator>
  <cp:lastModifiedBy>qiantai</cp:lastModifiedBy>
  <dcterms:modified xsi:type="dcterms:W3CDTF">2018-09-20T02:14:16Z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